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D8" w:rsidRDefault="00BB7AD8">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BB7AD8" w:rsidRDefault="00BB7AD8">
      <w:pPr>
        <w:pStyle w:val="Heading1"/>
        <w:rPr>
          <w:sz w:val="44"/>
          <w:szCs w:val="44"/>
        </w:rPr>
      </w:pPr>
      <w:r>
        <w:rPr>
          <w:sz w:val="44"/>
          <w:szCs w:val="44"/>
        </w:rPr>
        <w:tab/>
        <w:t>SPECIFICATION</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Series 2200 </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B7AD8" w:rsidRDefault="00BB7AD8">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BB7AD8" w:rsidRDefault="00BB7AD8">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BB7AD8" w:rsidRDefault="00BB7AD8">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BB7AD8">
          <w:footerReference w:type="default" r:id="rId7"/>
          <w:pgSz w:w="12240" w:h="15840"/>
          <w:pgMar w:top="1080" w:right="1440" w:bottom="720" w:left="1440" w:header="1080" w:footer="720" w:gutter="0"/>
          <w:pgNumType w:start="1"/>
          <w:cols w:space="720"/>
          <w:noEndnote/>
        </w:sectPr>
      </w:pPr>
    </w:p>
    <w:p w:rsidR="00BB7AD8" w:rsidRDefault="00BB7AD8">
      <w:pPr>
        <w:pStyle w:val="PART12"/>
        <w:framePr w:w="8784" w:h="1085" w:hSpace="144" w:vSpace="36" w:wrap="auto" w:vAnchor="text" w:hAnchor="margin" w:x="289" w:y="274"/>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BB7AD8" w:rsidRDefault="00BB7AD8">
      <w:pPr>
        <w:pStyle w:val="Caption"/>
        <w:framePr w:w="8784" w:h="1085" w:hSpace="144" w:vSpace="36" w:wrap="auto" w:vAnchor="text" w:hAnchor="margin" w:x="289" w:y="274"/>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BB7AD8" w:rsidRDefault="00BB7AD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B7AD8" w:rsidRDefault="00BB7AD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BB7AD8" w:rsidRDefault="00BB7AD8">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BB7AD8" w:rsidRDefault="00BB7AD8">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BB7AD8" w:rsidRDefault="00BB7AD8">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BB7AD8" w:rsidRDefault="00BB7AD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BB7AD8" w:rsidRDefault="00BB7AD8">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BB7AD8" w:rsidRDefault="00BB7AD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BB7AD8" w:rsidRDefault="00BB7AD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BB7AD8" w:rsidRDefault="00BB7AD8">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BB7AD8" w:rsidRDefault="00BB7AD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BB7AD8" w:rsidRDefault="00BB7AD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BB7AD8" w:rsidRDefault="00BB7AD8">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 </w:t>
      </w: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2100/2200 meets 15.0 psf (700 Pa.) </w:t>
      </w: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15.0 psf ( 700 Pa), or 20 percent of full positive design wind load, whichever is greater.</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BB7AD8" w:rsidRDefault="00BB7AD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BB7AD8" w:rsidRDefault="00BB7AD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B7AD8" w:rsidRDefault="00BB7AD8">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BB7AD8" w:rsidRDefault="00BB7AD8">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Cycling: There shall be no life/safety type failures (glass breakage, anchor failures, structural damage) when tested in accordance with AAMA 501.4, seismic test (lateral cycling). Upon successful completion of Phase I seismic testing, the curtain wall shall once again be subjected to a must successfully pass the specified air and water tests before proceeding to Phase II seismic testing.</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BB7AD8" w:rsidRDefault="00BB7AD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B7AD8" w:rsidRDefault="00BB7AD8">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BB7AD8" w:rsidRDefault="00BB7AD8">
      <w:pPr>
        <w:pStyle w:val="PART12"/>
        <w:numPr>
          <w:ilvl w:val="0"/>
          <w:numId w:val="8"/>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[Mock-up Drawings:  Submit drawings for mock-ups; refer to Section 01400 for mock-up requirements.]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B7AD8" w:rsidRDefault="00BB7AD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BB7AD8" w:rsidRDefault="00BB7AD8">
      <w:pPr>
        <w:pStyle w:val="PART12"/>
        <w:numPr>
          <w:ilvl w:val="0"/>
          <w:numId w:val="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B7AD8" w:rsidRDefault="00BB7AD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BB7AD8" w:rsidRDefault="00BB7AD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BB7AD8" w:rsidRDefault="00BB7AD8">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BB7AD8" w:rsidRDefault="00BB7AD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BB7AD8">
          <w:type w:val="continuous"/>
          <w:pgSz w:w="12240" w:h="15840"/>
          <w:pgMar w:top="1080" w:right="1440" w:bottom="720" w:left="1440" w:header="1080" w:footer="720" w:gutter="0"/>
          <w:cols w:space="720"/>
          <w:noEndnote/>
        </w:sectPr>
      </w:pPr>
    </w:p>
    <w:p w:rsidR="00BB7AD8" w:rsidRDefault="00BB7AD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B7AD8" w:rsidRDefault="00BB7AD8">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BB7AD8" w:rsidRDefault="00BB7AD8">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BB7AD8" w:rsidRDefault="00BB7AD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B7AD8" w:rsidRDefault="00BB7AD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BB7AD8" w:rsidRDefault="00BB7AD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BB7AD8" w:rsidRDefault="00BB7AD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BB7AD8" w:rsidRDefault="00BB7AD8">
      <w:pPr>
        <w:pStyle w:val="PART22"/>
        <w:framePr w:w="8784" w:h="180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p>
    <w:p w:rsidR="00BB7AD8" w:rsidRDefault="00BB7AD8">
      <w:pPr>
        <w:pStyle w:val="PART22"/>
        <w:framePr w:w="8784" w:h="180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p>
    <w:p w:rsidR="00BB7AD8" w:rsidRDefault="00BB7AD8">
      <w:pPr>
        <w:pStyle w:val="PART22"/>
        <w:framePr w:w="8784" w:h="180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BB7AD8" w:rsidRDefault="00BB7AD8">
      <w:pPr>
        <w:pStyle w:val="PART22"/>
        <w:framePr w:w="8784" w:h="180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Refer to U.S. Aluminum technical literature for additional information.</w:t>
      </w:r>
    </w:p>
    <w:p w:rsidR="00BB7AD8" w:rsidRDefault="00BB7AD8">
      <w:pPr>
        <w:pStyle w:val="Caption"/>
        <w:framePr w:w="8784" w:h="1805" w:hSpace="144" w:vSpace="36" w:wrap="auto" w:vAnchor="text" w:hAnchor="page" w:x="1663" w:y="12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BB7AD8" w:rsidRDefault="00BB7AD8">
      <w:pPr>
        <w:pStyle w:val="Technical4"/>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BB7AD8" w:rsidRDefault="00BB7AD8">
      <w:pPr>
        <w:pStyle w:val="PART22"/>
        <w:keepNext/>
        <w:keepLines/>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Acceptable Systems:</w:t>
      </w: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w:t>
      </w: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i/>
          <w:iCs/>
          <w:sz w:val="24"/>
          <w:szCs w:val="24"/>
        </w:rPr>
      </w:pP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b/>
          <w:bCs/>
          <w:i/>
          <w:iCs/>
          <w:sz w:val="24"/>
          <w:szCs w:val="24"/>
        </w:rPr>
      </w:pPr>
      <w:r>
        <w:rPr>
          <w:b/>
          <w:bCs/>
          <w:i/>
          <w:iCs/>
          <w:sz w:val="24"/>
          <w:szCs w:val="24"/>
        </w:rPr>
        <w:t>Series 2100 Curtain Wall System</w:t>
      </w: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Is a stick-erected Structural Vertical glazed curtain wall utilizing a pocket set design and E.P.D.M. compression glazing gaskets with reduced sightlines for low to mid-rise applications where exterior glazing is desired. </w:t>
      </w: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i/>
          <w:iCs/>
          <w:sz w:val="24"/>
          <w:szCs w:val="24"/>
        </w:rPr>
      </w:pP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b/>
          <w:bCs/>
          <w:i/>
          <w:iCs/>
          <w:sz w:val="24"/>
          <w:szCs w:val="24"/>
        </w:rPr>
      </w:pPr>
      <w:r>
        <w:rPr>
          <w:b/>
          <w:bCs/>
          <w:i/>
          <w:iCs/>
          <w:sz w:val="24"/>
          <w:szCs w:val="24"/>
        </w:rPr>
        <w:t>Series 2200 Curtain Wall System</w:t>
      </w: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Is a stick-erected Captured Vertical glazed curtain wall utilizing a pocket set design and E.P.D.M. compression glazing gaskets with reduced sightlines for low to mid-rise applications where exterior glazing is desired. </w:t>
      </w: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p>
    <w:p w:rsidR="00BB7AD8" w:rsidRDefault="00BB7AD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ascii="Arial" w:hAnsi="Arial" w:cs="Arial"/>
          <w:sz w:val="24"/>
          <w:szCs w:val="24"/>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3pt">
            <v:imagedata r:id="rId10" o:title=""/>
          </v:shape>
        </w:pict>
      </w: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36"/>
        <w:rPr>
          <w:sz w:val="24"/>
          <w:szCs w:val="24"/>
        </w:rPr>
      </w:pPr>
    </w:p>
    <w:p w:rsidR="00BB7AD8" w:rsidRDefault="00BB7AD8">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2.2</w:t>
      </w:r>
      <w:r>
        <w:rPr>
          <w:rFonts w:ascii="Arial" w:hAnsi="Arial" w:cs="Arial"/>
          <w:sz w:val="24"/>
          <w:szCs w:val="24"/>
        </w:rPr>
        <w:tab/>
        <w:t>FRAMING MATERIALS AND ACCESSORIES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6063-T6 for extrusions; ASTM B 209, alloy 5005-H34 for sheets; or other alloys and temper recommended by manufacturer appropriate for specified finish.</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t>2.</w:t>
      </w:r>
      <w:r>
        <w:tab/>
      </w:r>
      <w:r>
        <w:rPr>
          <w:rFonts w:ascii="Arial" w:hAnsi="Arial" w:cs="Arial"/>
        </w:rPr>
        <w:t>Shop coat steel assemblies after fabrication with alkyd type zinc chromate primer complying with FS TT-P-645</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6" style="position:absolute;left:0;text-align:left;margin-left:-49.95pt;margin-top:86.6pt;width:13.05pt;height:17.9pt;z-index:-251658240"/>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pPr>
      <w:r>
        <w:rPr>
          <w:sz w:val="24"/>
          <w:szCs w:val="24"/>
        </w:rPr>
        <w:t>B</w:t>
      </w:r>
      <w:r>
        <w:t>.</w:t>
      </w:r>
      <w:r>
        <w:tab/>
        <w:t>Location of exposed joints are subject to Architect's acceptance.</w:t>
      </w:r>
    </w:p>
    <w:p w:rsidR="00BB7AD8" w:rsidRDefault="00BB7AD8">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BB7AD8" w:rsidRDefault="00BB7AD8">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BB7AD8" w:rsidRDefault="00BB7AD8">
      <w:pPr>
        <w:pStyle w:val="PART21"/>
        <w:tabs>
          <w:tab w:val="clear" w:pos="-720"/>
          <w:tab w:val="clear" w:pos="0"/>
          <w:tab w:val="left" w:pos="-134"/>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hanging="900"/>
        <w:rPr>
          <w:rFonts w:ascii="Arial" w:hAnsi="Arial" w:cs="Arial"/>
          <w:sz w:val="24"/>
          <w:szCs w:val="24"/>
        </w:rPr>
      </w:pPr>
      <w:r>
        <w:rPr>
          <w:rFonts w:ascii="Arial" w:hAnsi="Arial" w:cs="Arial"/>
          <w:sz w:val="24"/>
          <w:szCs w:val="24"/>
        </w:rPr>
        <w:t xml:space="preserve">    C.</w:t>
      </w:r>
      <w:r>
        <w:rPr>
          <w:rFonts w:ascii="Arial" w:hAnsi="Arial" w:cs="Arial"/>
          <w:sz w:val="24"/>
          <w:szCs w:val="24"/>
        </w:rPr>
        <w:tab/>
        <w:t>Provide rigid, thermal break isolators to prevent exterior and interior aluminum framing members from being in contact with each other.</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BB7AD8" w:rsidRDefault="00BB7AD8">
      <w:pPr>
        <w:pStyle w:val="PART23"/>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260" w:hanging="35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BB7AD8" w:rsidRDefault="00BB7AD8">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Apply specified shop coat primer in accord with manufacturer's</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BB7AD8" w:rsidRDefault="00BB7AD8">
      <w:pPr>
        <w:pStyle w:val="PART21"/>
        <w:numPr>
          <w:ilvl w:val="0"/>
          <w:numId w:val="7"/>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[Fabricate window stool, jamb and head extensions with gypsum board receivers and mating tabs to fit window extrusions with tight fit hairline joints.]</w:t>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B7AD8" w:rsidRDefault="00BB7AD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B7AD8" w:rsidRDefault="00BB7AD8">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BB7AD8" w:rsidRDefault="00BB7AD8">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BB7AD8" w:rsidRDefault="00BB7AD8">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BB7AD8">
          <w:type w:val="continuous"/>
          <w:pgSz w:w="12240" w:h="15840"/>
          <w:pgMar w:top="1080" w:right="1440" w:bottom="720" w:left="1440" w:header="1080" w:footer="720" w:gutter="0"/>
          <w:cols w:space="720"/>
          <w:noEndnote/>
        </w:sectPr>
      </w:pPr>
    </w:p>
    <w:p w:rsidR="00BB7AD8" w:rsidRDefault="00BB7AD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BB7AD8" w:rsidRDefault="00BB7AD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BB7AD8" w:rsidRDefault="00BB7AD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BB7AD8" w:rsidRDefault="00BB7AD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BB7AD8" w:rsidRDefault="00BB7AD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BB7AD8" w:rsidRDefault="00BB7AD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BB7AD8" w:rsidRDefault="00BB7AD8">
      <w:pPr>
        <w:pStyle w:val="PART32a"/>
        <w:tabs>
          <w:tab w:val="clear" w:pos="-720"/>
          <w:tab w:val="clear" w:pos="720"/>
          <w:tab w:val="left" w:pos="-134"/>
          <w:tab w:val="left" w:pos="302"/>
          <w:tab w:val="left" w:pos="99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90"/>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BB7AD8" w:rsidRDefault="00BB7AD8">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BB7AD8" w:rsidRDefault="00BB7AD8">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Glazing:</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BB7AD8" w:rsidRDefault="00BB7AD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BB7AD8" w:rsidRDefault="00BB7AD8">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BB7AD8" w:rsidRDefault="00BB7AD8">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080"/>
        <w:rPr>
          <w:rFonts w:ascii="Arial" w:hAnsi="Arial" w:cs="Arial"/>
          <w:sz w:val="24"/>
          <w:szCs w:val="24"/>
        </w:rPr>
      </w:pP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080"/>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BB7AD8" w:rsidRDefault="00BB7AD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BB7AD8" w:rsidRDefault="00BB7AD8">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BB7AD8" w:rsidRDefault="00BB7AD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B7AD8" w:rsidRDefault="00BB7AD8">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p w:rsidR="00BB7AD8" w:rsidRDefault="00BB7AD8">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sz w:val="24"/>
          <w:szCs w:val="24"/>
        </w:rPr>
        <w:br w:type="page"/>
      </w:r>
    </w:p>
    <w:sectPr w:rsidR="00BB7AD8" w:rsidSect="00BB7AD8">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AD8" w:rsidRDefault="00BB7AD8">
      <w:pPr>
        <w:widowControl/>
        <w:spacing w:line="20" w:lineRule="exact"/>
        <w:rPr>
          <w:rFonts w:cs="Times New Roman"/>
          <w:sz w:val="24"/>
          <w:szCs w:val="24"/>
        </w:rPr>
      </w:pPr>
    </w:p>
  </w:endnote>
  <w:endnote w:type="continuationSeparator" w:id="0">
    <w:p w:rsidR="00BB7AD8" w:rsidRDefault="00BB7AD8">
      <w:pPr>
        <w:pStyle w:val="PART32a"/>
      </w:pPr>
      <w:r>
        <w:rPr>
          <w:sz w:val="24"/>
          <w:szCs w:val="24"/>
        </w:rPr>
        <w:t>A.</w:t>
      </w:r>
      <w:r>
        <w:rPr>
          <w:sz w:val="24"/>
          <w:szCs w:val="24"/>
        </w:rPr>
        <w:tab/>
        <w:t xml:space="preserve"> </w:t>
      </w:r>
    </w:p>
  </w:endnote>
  <w:endnote w:type="continuationNotice" w:id="1">
    <w:p w:rsidR="00BB7AD8" w:rsidRDefault="00BB7AD8">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D8" w:rsidRDefault="00BB7AD8">
    <w:pPr>
      <w:spacing w:before="140" w:line="100" w:lineRule="exact"/>
      <w:rPr>
        <w:rFonts w:cs="Times New Roman"/>
        <w:sz w:val="10"/>
        <w:szCs w:val="10"/>
      </w:rPr>
    </w:pPr>
  </w:p>
  <w:p w:rsidR="00BB7AD8" w:rsidRDefault="00BB7AD8">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17 February, 2016</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AD8" w:rsidRDefault="00BB7AD8">
      <w:pPr>
        <w:pStyle w:val="PART32a"/>
      </w:pPr>
      <w:r>
        <w:rPr>
          <w:sz w:val="24"/>
          <w:szCs w:val="24"/>
        </w:rPr>
        <w:t>A.</w:t>
      </w:r>
      <w:r>
        <w:rPr>
          <w:sz w:val="24"/>
          <w:szCs w:val="24"/>
        </w:rPr>
        <w:tab/>
      </w:r>
      <w:r>
        <w:rPr>
          <w:sz w:val="24"/>
          <w:szCs w:val="24"/>
        </w:rPr>
        <w:separator/>
      </w:r>
    </w:p>
  </w:footnote>
  <w:footnote w:type="continuationSeparator" w:id="0">
    <w:p w:rsidR="00BB7AD8" w:rsidRDefault="00BB7AD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7D08"/>
    <w:multiLevelType w:val="hybridMultilevel"/>
    <w:tmpl w:val="B87CFDEE"/>
    <w:lvl w:ilvl="0" w:tplc="4AA8748C">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2">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3">
    <w:nsid w:val="46463AC2"/>
    <w:multiLevelType w:val="hybridMultilevel"/>
    <w:tmpl w:val="D096820A"/>
    <w:lvl w:ilvl="0" w:tplc="6D280082">
      <w:start w:val="4"/>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4">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5">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6">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69EB2521"/>
    <w:multiLevelType w:val="hybridMultilevel"/>
    <w:tmpl w:val="9ADEA586"/>
    <w:lvl w:ilvl="0" w:tplc="C5A4A738">
      <w:start w:val="15"/>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5"/>
  </w:num>
  <w:num w:numId="2">
    <w:abstractNumId w:val="5"/>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2"/>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AD8"/>
    <w:rsid w:val="00BB7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507</TotalTime>
  <Pages>16</Pages>
  <Words>4754</Words>
  <Characters>27099</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26</cp:revision>
  <cp:lastPrinted>2012-12-07T23:25:00Z</cp:lastPrinted>
  <dcterms:created xsi:type="dcterms:W3CDTF">2011-10-26T20:31:00Z</dcterms:created>
  <dcterms:modified xsi:type="dcterms:W3CDTF">2016-02-17T15:44:00Z</dcterms:modified>
</cp:coreProperties>
</file>